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0BB1B" w14:textId="40D17E4F" w:rsidR="00BA5575" w:rsidRPr="00BA5575" w:rsidRDefault="00ED46D2">
      <w:pPr>
        <w:rPr>
          <w:rFonts w:ascii="Arial" w:hAnsi="Arial" w:cs="Arial"/>
          <w:b/>
          <w:lang w:val="en-US"/>
        </w:rPr>
      </w:pPr>
      <w:r w:rsidRPr="00BA5575">
        <w:rPr>
          <w:rFonts w:ascii="Arial" w:hAnsi="Arial" w:cs="Arial"/>
          <w:b/>
          <w:lang w:val="en-US"/>
        </w:rPr>
        <w:t>VENUS stati</w:t>
      </w:r>
      <w:r w:rsidR="00BA5575" w:rsidRPr="00BA5575">
        <w:rPr>
          <w:rFonts w:ascii="Arial" w:hAnsi="Arial" w:cs="Arial"/>
          <w:b/>
          <w:lang w:val="en-US"/>
        </w:rPr>
        <w:t>c</w:t>
      </w:r>
      <w:r w:rsidRPr="00BA5575">
        <w:rPr>
          <w:rFonts w:ascii="Arial" w:hAnsi="Arial" w:cs="Arial"/>
          <w:b/>
          <w:lang w:val="en-US"/>
        </w:rPr>
        <w:t xml:space="preserve"> </w:t>
      </w:r>
      <w:r w:rsidR="00BA5575" w:rsidRPr="00BA5575">
        <w:rPr>
          <w:rFonts w:ascii="Arial" w:hAnsi="Arial" w:cs="Arial"/>
          <w:b/>
          <w:lang w:val="en-US"/>
        </w:rPr>
        <w:t>and</w:t>
      </w:r>
      <w:r w:rsidRPr="00BA5575">
        <w:rPr>
          <w:rFonts w:ascii="Arial" w:hAnsi="Arial" w:cs="Arial"/>
          <w:b/>
          <w:lang w:val="en-US"/>
        </w:rPr>
        <w:t xml:space="preserve"> </w:t>
      </w:r>
      <w:r w:rsidR="00BA5575" w:rsidRPr="00BA5575">
        <w:rPr>
          <w:rFonts w:ascii="Arial" w:hAnsi="Arial" w:cs="Arial"/>
          <w:b/>
          <w:lang w:val="en-US"/>
        </w:rPr>
        <w:t>tunable</w:t>
      </w:r>
      <w:r w:rsidRPr="00BA5575">
        <w:rPr>
          <w:rFonts w:ascii="Arial" w:hAnsi="Arial" w:cs="Arial"/>
          <w:b/>
          <w:lang w:val="en-US"/>
        </w:rPr>
        <w:t xml:space="preserve"> </w:t>
      </w:r>
      <w:r w:rsidR="00BA5575" w:rsidRPr="00BA5575">
        <w:rPr>
          <w:rFonts w:ascii="Arial" w:hAnsi="Arial" w:cs="Arial"/>
          <w:b/>
          <w:lang w:val="en-US"/>
        </w:rPr>
        <w:t>w</w:t>
      </w:r>
      <w:r w:rsidR="00BA5575">
        <w:rPr>
          <w:rFonts w:ascii="Arial" w:hAnsi="Arial" w:cs="Arial"/>
          <w:b/>
          <w:lang w:val="en-US"/>
        </w:rPr>
        <w:t>hite and RGB</w:t>
      </w:r>
    </w:p>
    <w:p w14:paraId="49FD232B" w14:textId="77777777" w:rsidR="00403111" w:rsidRPr="00403111" w:rsidRDefault="00403111" w:rsidP="00403111">
      <w:pPr>
        <w:rPr>
          <w:rFonts w:ascii="Arial" w:hAnsi="Arial" w:cs="Arial"/>
          <w:sz w:val="20"/>
          <w:szCs w:val="20"/>
          <w:lang w:val="en-US"/>
        </w:rPr>
      </w:pPr>
      <w:r w:rsidRPr="00403111">
        <w:rPr>
          <w:rFonts w:ascii="Arial" w:hAnsi="Arial" w:cs="Arial"/>
          <w:sz w:val="20"/>
          <w:szCs w:val="20"/>
          <w:lang w:val="en-US"/>
        </w:rPr>
        <w:t>24 V light source, manufactured using a state-of-the-art automated reel-to-reel (R2R) production process, supporting LED Linear™ Tj Away® technology for thin, flexible circuit boards.</w:t>
      </w:r>
    </w:p>
    <w:p w14:paraId="2FD27174" w14:textId="595511EC" w:rsidR="00BA5575" w:rsidRPr="00BA5575" w:rsidRDefault="00BA5575" w:rsidP="00BA5575">
      <w:pPr>
        <w:rPr>
          <w:rFonts w:ascii="Arial" w:hAnsi="Arial" w:cs="Arial"/>
          <w:sz w:val="20"/>
          <w:szCs w:val="20"/>
          <w:lang w:val="en-US"/>
        </w:rPr>
      </w:pPr>
      <w:r w:rsidRPr="00BA5575">
        <w:rPr>
          <w:rFonts w:ascii="Arial" w:hAnsi="Arial" w:cs="Arial"/>
          <w:sz w:val="20"/>
          <w:szCs w:val="20"/>
          <w:lang w:val="en-US"/>
        </w:rPr>
        <w:t>VENUS TopView (TV): 15 x 16 mm (H x W), bending direction along the vertical axis of the luminaire</w:t>
      </w:r>
      <w:r w:rsidRPr="00BA5575">
        <w:rPr>
          <w:rFonts w:ascii="Arial" w:hAnsi="Arial" w:cs="Arial"/>
          <w:sz w:val="20"/>
          <w:szCs w:val="20"/>
          <w:lang w:val="en-US"/>
        </w:rPr>
        <w:br/>
        <w:t>VENUS SideView (SV): 20</w:t>
      </w:r>
      <w:r w:rsidR="00E1090E">
        <w:rPr>
          <w:rFonts w:ascii="Arial" w:hAnsi="Arial" w:cs="Arial"/>
          <w:sz w:val="20"/>
          <w:szCs w:val="20"/>
          <w:lang w:val="en-US"/>
        </w:rPr>
        <w:t>,</w:t>
      </w:r>
      <w:r w:rsidRPr="00BA5575">
        <w:rPr>
          <w:rFonts w:ascii="Arial" w:hAnsi="Arial" w:cs="Arial"/>
          <w:sz w:val="20"/>
          <w:szCs w:val="20"/>
          <w:lang w:val="en-US"/>
        </w:rPr>
        <w:t>5 x 10 mm (H x W), bending direction along the horizontal axis of the luminaire</w:t>
      </w:r>
    </w:p>
    <w:p w14:paraId="375744C9" w14:textId="57892599" w:rsidR="00BA5575" w:rsidRPr="00BA5575" w:rsidRDefault="00BA5575" w:rsidP="00BA5575">
      <w:pPr>
        <w:rPr>
          <w:rFonts w:ascii="Arial" w:hAnsi="Arial" w:cs="Arial"/>
          <w:sz w:val="20"/>
          <w:szCs w:val="20"/>
          <w:lang w:val="en-US"/>
        </w:rPr>
      </w:pPr>
      <w:r w:rsidRPr="00BA5575">
        <w:rPr>
          <w:rFonts w:ascii="Arial" w:hAnsi="Arial" w:cs="Arial"/>
          <w:sz w:val="20"/>
          <w:szCs w:val="20"/>
          <w:lang w:val="en-US"/>
        </w:rPr>
        <w:t xml:space="preserve">Fully encapsulated in opal polyurethane, providing high-quality waterproof sealing and UV resistance. The polyurethane formulation has been specifically developed for LED technology. Resistant to corrosive gases such as sulfur, chlorine, or salt mist. Fully automated and reliable in-house </w:t>
      </w:r>
      <w:r w:rsidR="00C07121">
        <w:rPr>
          <w:rFonts w:ascii="Arial" w:hAnsi="Arial" w:cs="Arial"/>
          <w:sz w:val="20"/>
          <w:szCs w:val="20"/>
          <w:lang w:val="en-US"/>
        </w:rPr>
        <w:t xml:space="preserve">encapsulation </w:t>
      </w:r>
      <w:r w:rsidRPr="00BA5575">
        <w:rPr>
          <w:rFonts w:ascii="Arial" w:hAnsi="Arial" w:cs="Arial"/>
          <w:sz w:val="20"/>
          <w:szCs w:val="20"/>
          <w:lang w:val="en-US"/>
        </w:rPr>
        <w:t>process with 100% functional testing and outgoing goods inspection of each luminaire.</w:t>
      </w:r>
    </w:p>
    <w:p w14:paraId="29F69E19" w14:textId="77777777" w:rsidR="00BA5575" w:rsidRPr="00BA5575" w:rsidRDefault="00BA5575" w:rsidP="00BA5575">
      <w:pPr>
        <w:rPr>
          <w:rFonts w:ascii="Arial" w:hAnsi="Arial" w:cs="Arial"/>
          <w:sz w:val="20"/>
          <w:szCs w:val="20"/>
          <w:lang w:val="en-US"/>
        </w:rPr>
      </w:pPr>
      <w:r w:rsidRPr="00BA5575">
        <w:rPr>
          <w:rFonts w:ascii="Arial" w:hAnsi="Arial" w:cs="Arial"/>
          <w:sz w:val="20"/>
          <w:szCs w:val="20"/>
          <w:lang w:val="en-US"/>
        </w:rPr>
        <w:t>Freely configurable in length up to a maximum of five meters. Equipped with an IP67 cable and connector system, including selectable mounting accessories.</w:t>
      </w:r>
    </w:p>
    <w:p w14:paraId="4E153526" w14:textId="3B6772D1" w:rsidR="00BA5575" w:rsidRPr="001A00EE" w:rsidRDefault="00BA5575" w:rsidP="00BA5575">
      <w:pPr>
        <w:rPr>
          <w:rFonts w:ascii="Arial" w:hAnsi="Arial" w:cs="Arial"/>
          <w:sz w:val="20"/>
          <w:szCs w:val="20"/>
          <w:lang w:val="en-US"/>
        </w:rPr>
      </w:pPr>
      <w:r w:rsidRPr="00BA5575">
        <w:rPr>
          <w:rFonts w:ascii="Arial" w:hAnsi="Arial" w:cs="Arial"/>
          <w:sz w:val="20"/>
          <w:szCs w:val="20"/>
          <w:lang w:val="en-US"/>
        </w:rPr>
        <w:t>Two variants with different bending directions are available: TopView (TV) with vertical bending and SideView (SV) with horizontal bending. Maximum bending radius of 150 mm. An excellent solution for narrow, organic accent lighting applications (indoor/outdoor), for fa</w:t>
      </w:r>
      <w:r w:rsidR="00093BA1">
        <w:rPr>
          <w:rFonts w:ascii="Arial" w:hAnsi="Arial" w:cs="Arial"/>
          <w:sz w:val="20"/>
          <w:szCs w:val="20"/>
          <w:lang w:val="en-US"/>
        </w:rPr>
        <w:t>c</w:t>
      </w:r>
      <w:r w:rsidRPr="00BA5575">
        <w:rPr>
          <w:rFonts w:ascii="Arial" w:hAnsi="Arial" w:cs="Arial"/>
          <w:sz w:val="20"/>
          <w:szCs w:val="20"/>
          <w:lang w:val="en-US"/>
        </w:rPr>
        <w:t>ades or decorative direct lighting where IP67 protection is required.</w:t>
      </w:r>
      <w:r w:rsidR="00943B52">
        <w:rPr>
          <w:rFonts w:ascii="Arial" w:hAnsi="Arial" w:cs="Arial"/>
          <w:sz w:val="20"/>
          <w:szCs w:val="20"/>
          <w:lang w:val="en-US"/>
        </w:rPr>
        <w:t xml:space="preserve"> </w:t>
      </w:r>
    </w:p>
    <w:p w14:paraId="1EA4C3F4" w14:textId="14C5F7EC" w:rsidR="00BA5575" w:rsidRPr="008D17F1" w:rsidRDefault="00BA5575" w:rsidP="00BA5575">
      <w:pPr>
        <w:rPr>
          <w:rFonts w:ascii="Arial" w:hAnsi="Arial" w:cs="Arial"/>
          <w:b/>
        </w:rPr>
      </w:pPr>
      <w:r w:rsidRPr="008D17F1">
        <w:rPr>
          <w:rFonts w:ascii="Arial" w:hAnsi="Arial" w:cs="Arial"/>
          <w:b/>
        </w:rPr>
        <w:t>Mounting accesso</w:t>
      </w:r>
      <w:r w:rsidR="008D17F1" w:rsidRPr="008D17F1">
        <w:rPr>
          <w:rFonts w:ascii="Arial" w:hAnsi="Arial" w:cs="Arial"/>
          <w:b/>
        </w:rPr>
        <w:t>ry</w:t>
      </w:r>
    </w:p>
    <w:p w14:paraId="31FE369E" w14:textId="77777777" w:rsidR="00BA5575" w:rsidRPr="00BA5575" w:rsidRDefault="00BA5575" w:rsidP="008D17F1">
      <w:pPr>
        <w:numPr>
          <w:ilvl w:val="0"/>
          <w:numId w:val="6"/>
        </w:numPr>
        <w:spacing w:after="0"/>
        <w:rPr>
          <w:rFonts w:ascii="Arial" w:hAnsi="Arial" w:cs="Arial"/>
          <w:sz w:val="20"/>
          <w:szCs w:val="20"/>
        </w:rPr>
      </w:pPr>
      <w:r w:rsidRPr="00BA5575">
        <w:rPr>
          <w:rFonts w:ascii="Arial" w:hAnsi="Arial" w:cs="Arial"/>
          <w:sz w:val="20"/>
          <w:szCs w:val="20"/>
          <w:lang w:val="en-US"/>
        </w:rPr>
        <w:t xml:space="preserve">Surface mounting with mounting clips, without cable channel, made of powder-coated aluminum in RAL9003 matte. </w:t>
      </w:r>
      <w:r w:rsidRPr="00BA5575">
        <w:rPr>
          <w:rFonts w:ascii="Arial" w:hAnsi="Arial" w:cs="Arial"/>
          <w:sz w:val="20"/>
          <w:szCs w:val="20"/>
        </w:rPr>
        <w:t>Enables flat surface installation.</w:t>
      </w:r>
    </w:p>
    <w:p w14:paraId="0082101D" w14:textId="77777777" w:rsidR="00BA5575" w:rsidRPr="00BA5575" w:rsidRDefault="00BA5575" w:rsidP="008D17F1">
      <w:pPr>
        <w:numPr>
          <w:ilvl w:val="0"/>
          <w:numId w:val="6"/>
        </w:numPr>
        <w:spacing w:after="0"/>
        <w:rPr>
          <w:rFonts w:ascii="Arial" w:hAnsi="Arial" w:cs="Arial"/>
          <w:sz w:val="20"/>
          <w:szCs w:val="20"/>
        </w:rPr>
      </w:pPr>
      <w:r w:rsidRPr="00BA5575">
        <w:rPr>
          <w:rFonts w:ascii="Arial" w:hAnsi="Arial" w:cs="Arial"/>
          <w:sz w:val="20"/>
          <w:szCs w:val="20"/>
          <w:lang w:val="en-US"/>
        </w:rPr>
        <w:t xml:space="preserve">Surface mounting with mounting clips including cable channel, made of powder-coated aluminum in RAL9003 matte. </w:t>
      </w:r>
      <w:r w:rsidRPr="00BA5575">
        <w:rPr>
          <w:rFonts w:ascii="Arial" w:hAnsi="Arial" w:cs="Arial"/>
          <w:sz w:val="20"/>
          <w:szCs w:val="20"/>
        </w:rPr>
        <w:t>Allows concealed wiring within the mounting clip.</w:t>
      </w:r>
    </w:p>
    <w:p w14:paraId="18B0CB4E" w14:textId="77777777" w:rsidR="00BA5575" w:rsidRPr="00BA5575" w:rsidRDefault="00BA5575" w:rsidP="008D17F1">
      <w:pPr>
        <w:numPr>
          <w:ilvl w:val="0"/>
          <w:numId w:val="6"/>
        </w:numPr>
        <w:spacing w:after="0"/>
        <w:rPr>
          <w:rFonts w:ascii="Arial" w:hAnsi="Arial" w:cs="Arial"/>
          <w:sz w:val="20"/>
          <w:szCs w:val="20"/>
        </w:rPr>
      </w:pPr>
      <w:r w:rsidRPr="00BA5575">
        <w:rPr>
          <w:rFonts w:ascii="Arial" w:hAnsi="Arial" w:cs="Arial"/>
          <w:sz w:val="20"/>
          <w:szCs w:val="20"/>
          <w:lang w:val="en-US"/>
        </w:rPr>
        <w:t xml:space="preserve">Surface mounting with mounting profile, without cable channel, made of powder-coated aluminum in RAL9003 matte. </w:t>
      </w:r>
      <w:r w:rsidRPr="00BA5575">
        <w:rPr>
          <w:rFonts w:ascii="Arial" w:hAnsi="Arial" w:cs="Arial"/>
          <w:sz w:val="20"/>
          <w:szCs w:val="20"/>
        </w:rPr>
        <w:t>Custom colors for profiles available on request. Enables flat surface installation.</w:t>
      </w:r>
    </w:p>
    <w:p w14:paraId="51742D9A" w14:textId="77777777" w:rsidR="00BA5575" w:rsidRPr="00BA5575" w:rsidRDefault="00BA5575" w:rsidP="008D17F1">
      <w:pPr>
        <w:numPr>
          <w:ilvl w:val="0"/>
          <w:numId w:val="6"/>
        </w:numPr>
        <w:spacing w:after="0"/>
        <w:rPr>
          <w:rFonts w:ascii="Arial" w:hAnsi="Arial" w:cs="Arial"/>
          <w:sz w:val="20"/>
          <w:szCs w:val="20"/>
          <w:lang w:val="en-US"/>
        </w:rPr>
      </w:pPr>
      <w:r w:rsidRPr="00BA5575">
        <w:rPr>
          <w:rFonts w:ascii="Arial" w:hAnsi="Arial" w:cs="Arial"/>
          <w:sz w:val="20"/>
          <w:szCs w:val="20"/>
          <w:lang w:val="en-US"/>
        </w:rPr>
        <w:t>Surface mounting with mounting profile including cable channel, made of powder-coated aluminum in RAL9003 matte. Custom colors for profiles available on request. Allows concealed wiring within the mounting profile.</w:t>
      </w:r>
    </w:p>
    <w:p w14:paraId="7106501C" w14:textId="77777777" w:rsidR="00BA5575" w:rsidRPr="00BA5575" w:rsidRDefault="00BA5575" w:rsidP="008D17F1">
      <w:pPr>
        <w:numPr>
          <w:ilvl w:val="0"/>
          <w:numId w:val="6"/>
        </w:numPr>
        <w:spacing w:after="0"/>
        <w:rPr>
          <w:rFonts w:ascii="Arial" w:hAnsi="Arial" w:cs="Arial"/>
          <w:sz w:val="20"/>
          <w:szCs w:val="20"/>
          <w:lang w:val="en-US"/>
        </w:rPr>
      </w:pPr>
      <w:r w:rsidRPr="00BA5575">
        <w:rPr>
          <w:rFonts w:ascii="Arial" w:hAnsi="Arial" w:cs="Arial"/>
          <w:sz w:val="20"/>
          <w:szCs w:val="20"/>
          <w:lang w:val="en-US"/>
        </w:rPr>
        <w:t>Surface mounting with stainless steel clips.</w:t>
      </w:r>
    </w:p>
    <w:p w14:paraId="1A3C3E8E" w14:textId="770DB72F" w:rsidR="00BA5575" w:rsidRPr="001A00EE" w:rsidRDefault="00BA5575" w:rsidP="00BA5575">
      <w:pPr>
        <w:rPr>
          <w:rFonts w:ascii="Arial" w:hAnsi="Arial" w:cs="Arial"/>
          <w:sz w:val="20"/>
          <w:szCs w:val="20"/>
          <w:lang w:val="en-US"/>
        </w:rPr>
      </w:pPr>
    </w:p>
    <w:p w14:paraId="14389525" w14:textId="03939CFC" w:rsidR="00BA5575" w:rsidRPr="00810BE9" w:rsidRDefault="00BA5575" w:rsidP="00BA5575">
      <w:pPr>
        <w:rPr>
          <w:rFonts w:ascii="Arial" w:hAnsi="Arial" w:cs="Arial"/>
          <w:b/>
          <w:lang w:val="en-US"/>
        </w:rPr>
      </w:pPr>
      <w:r w:rsidRPr="00810BE9">
        <w:rPr>
          <w:rFonts w:ascii="Arial" w:hAnsi="Arial" w:cs="Arial"/>
          <w:b/>
          <w:lang w:val="en-US"/>
        </w:rPr>
        <w:t xml:space="preserve">Light </w:t>
      </w:r>
      <w:r w:rsidR="00CA6F5A" w:rsidRPr="00810BE9">
        <w:rPr>
          <w:rFonts w:ascii="Arial" w:hAnsi="Arial" w:cs="Arial"/>
          <w:b/>
          <w:lang w:val="en-US"/>
        </w:rPr>
        <w:t>engine</w:t>
      </w:r>
    </w:p>
    <w:p w14:paraId="35711AEC" w14:textId="77777777" w:rsidR="00B7151C" w:rsidRPr="00B7151C" w:rsidRDefault="00B7151C" w:rsidP="00B7151C">
      <w:pPr>
        <w:widowControl w:val="0"/>
        <w:autoSpaceDE w:val="0"/>
        <w:autoSpaceDN w:val="0"/>
        <w:adjustRightInd w:val="0"/>
        <w:spacing w:after="0" w:line="240" w:lineRule="auto"/>
        <w:rPr>
          <w:rFonts w:ascii="Arial" w:hAnsi="Arial" w:cs="Arial"/>
          <w:kern w:val="0"/>
          <w:sz w:val="20"/>
          <w:szCs w:val="20"/>
          <w:lang w:val="en-US"/>
        </w:rPr>
      </w:pPr>
      <w:r w:rsidRPr="00B7151C">
        <w:rPr>
          <w:rFonts w:ascii="Arial" w:hAnsi="Arial" w:cs="Arial"/>
          <w:kern w:val="0"/>
          <w:sz w:val="20"/>
          <w:szCs w:val="20"/>
          <w:lang w:val="en-US"/>
        </w:rPr>
        <w:t xml:space="preserve">24V Light source assembled using state of the art automated Reel-to-Reel (R2R) production process supporting LED Linear™ Tj Away® thin flexible circuit board technology. </w:t>
      </w:r>
    </w:p>
    <w:p w14:paraId="7A218D21" w14:textId="32C39B33" w:rsidR="00BA5575" w:rsidRPr="00BA5575" w:rsidRDefault="00B7151C" w:rsidP="00BA5575">
      <w:pPr>
        <w:rPr>
          <w:rFonts w:ascii="Arial" w:hAnsi="Arial" w:cs="Arial"/>
          <w:sz w:val="20"/>
          <w:szCs w:val="20"/>
          <w:lang w:val="en-US"/>
        </w:rPr>
      </w:pPr>
      <w:r>
        <w:rPr>
          <w:rFonts w:ascii="Arial" w:hAnsi="Arial" w:cs="Arial"/>
          <w:sz w:val="20"/>
          <w:szCs w:val="20"/>
          <w:lang w:val="en-US"/>
        </w:rPr>
        <w:br/>
      </w:r>
      <w:r w:rsidR="00BA5575" w:rsidRPr="00BA5575">
        <w:rPr>
          <w:rFonts w:ascii="Arial" w:hAnsi="Arial" w:cs="Arial"/>
          <w:sz w:val="20"/>
          <w:szCs w:val="20"/>
          <w:lang w:val="en-US"/>
        </w:rPr>
        <w:t>The 24 V light source uses high-quality LED packages</w:t>
      </w:r>
      <w:r w:rsidR="00A70AC7">
        <w:rPr>
          <w:rFonts w:ascii="Arial" w:hAnsi="Arial" w:cs="Arial"/>
          <w:sz w:val="20"/>
          <w:szCs w:val="20"/>
          <w:lang w:val="en-US"/>
        </w:rPr>
        <w:t xml:space="preserve"> </w:t>
      </w:r>
      <w:r w:rsidR="00BA5575" w:rsidRPr="00BA5575">
        <w:rPr>
          <w:rFonts w:ascii="Arial" w:hAnsi="Arial" w:cs="Arial"/>
          <w:sz w:val="20"/>
          <w:szCs w:val="20"/>
          <w:lang w:val="en-US"/>
        </w:rPr>
        <w:t>offering static white, dynamic white, RGB, RGBW, or color options depending on configuration.</w:t>
      </w:r>
    </w:p>
    <w:p w14:paraId="74303740" w14:textId="14C828FE" w:rsidR="00BA5575" w:rsidRPr="008C41DB" w:rsidRDefault="00BA5575" w:rsidP="00BA5575">
      <w:pPr>
        <w:rPr>
          <w:rFonts w:ascii="Arial" w:hAnsi="Arial" w:cs="Arial"/>
          <w:sz w:val="20"/>
          <w:szCs w:val="20"/>
          <w:lang w:val="en-US"/>
        </w:rPr>
      </w:pPr>
      <w:r w:rsidRPr="00BA5575">
        <w:rPr>
          <w:rFonts w:ascii="Arial" w:hAnsi="Arial" w:cs="Arial"/>
          <w:sz w:val="20"/>
          <w:szCs w:val="20"/>
          <w:lang w:val="en-US"/>
        </w:rPr>
        <w:t>Static white uses modern LED packages to ensure optimal heat dissipation (junction</w:t>
      </w:r>
      <w:r w:rsidR="00B7151C">
        <w:rPr>
          <w:rFonts w:ascii="Arial" w:hAnsi="Arial" w:cs="Arial"/>
          <w:sz w:val="20"/>
          <w:szCs w:val="20"/>
          <w:lang w:val="en-US"/>
        </w:rPr>
        <w:t xml:space="preserve"> </w:t>
      </w:r>
      <w:r w:rsidRPr="00BA5575">
        <w:rPr>
          <w:rFonts w:ascii="Arial" w:hAnsi="Arial" w:cs="Arial"/>
          <w:sz w:val="20"/>
          <w:szCs w:val="20"/>
          <w:lang w:val="en-US"/>
        </w:rPr>
        <w:t>to</w:t>
      </w:r>
      <w:r w:rsidR="00B7151C">
        <w:rPr>
          <w:rFonts w:ascii="Arial" w:hAnsi="Arial" w:cs="Arial"/>
          <w:sz w:val="20"/>
          <w:szCs w:val="20"/>
          <w:lang w:val="en-US"/>
        </w:rPr>
        <w:t xml:space="preserve"> </w:t>
      </w:r>
      <w:r w:rsidRPr="00BA5575">
        <w:rPr>
          <w:rFonts w:ascii="Arial" w:hAnsi="Arial" w:cs="Arial"/>
          <w:sz w:val="20"/>
          <w:szCs w:val="20"/>
          <w:lang w:val="en-US"/>
        </w:rPr>
        <w:t xml:space="preserve">profile), achieving an excellent L80/B10 lifetime of &gt;102,000 hours. Features SDCM3, One Bin Only, and photometric code Wxxx/339, ensuring consistently high color stability over the entire lifetime. Premium color rendering with CRI &gt;92 (R9 &gt;4) and TM-30-15 values up to Rf = 82 / Rg = 97. Protected against electrostatic discharge up to </w:t>
      </w:r>
      <w:r w:rsidR="00707ADE">
        <w:rPr>
          <w:rFonts w:ascii="Arial" w:hAnsi="Arial" w:cs="Arial"/>
          <w:sz w:val="20"/>
          <w:szCs w:val="20"/>
          <w:lang w:val="en-US"/>
        </w:rPr>
        <w:t xml:space="preserve">+/- </w:t>
      </w:r>
      <w:r w:rsidRPr="00BA5575">
        <w:rPr>
          <w:rFonts w:ascii="Arial" w:hAnsi="Arial" w:cs="Arial"/>
          <w:sz w:val="20"/>
          <w:szCs w:val="20"/>
          <w:lang w:val="en-US"/>
        </w:rPr>
        <w:t>8</w:t>
      </w:r>
      <w:r w:rsidR="00707ADE">
        <w:rPr>
          <w:rFonts w:ascii="Arial" w:hAnsi="Arial" w:cs="Arial"/>
          <w:sz w:val="20"/>
          <w:szCs w:val="20"/>
          <w:lang w:val="en-US"/>
        </w:rPr>
        <w:t>.</w:t>
      </w:r>
      <w:r w:rsidRPr="00BA5575">
        <w:rPr>
          <w:rFonts w:ascii="Arial" w:hAnsi="Arial" w:cs="Arial"/>
          <w:sz w:val="20"/>
          <w:szCs w:val="20"/>
          <w:lang w:val="en-US"/>
        </w:rPr>
        <w:t xml:space="preserve">000 V and </w:t>
      </w:r>
      <w:r w:rsidR="008C41DB" w:rsidRPr="008C41DB">
        <w:rPr>
          <w:rFonts w:ascii="Arial" w:hAnsi="Arial" w:cs="Arial"/>
          <w:kern w:val="0"/>
          <w:sz w:val="20"/>
          <w:szCs w:val="20"/>
          <w:lang w:val="en-US"/>
        </w:rPr>
        <w:t>polarity miswiring.</w:t>
      </w:r>
    </w:p>
    <w:p w14:paraId="78C493A6" w14:textId="7FBB166B" w:rsidR="00BA5575" w:rsidRPr="00BA5575" w:rsidRDefault="0016760B" w:rsidP="00BA5575">
      <w:pPr>
        <w:rPr>
          <w:rFonts w:ascii="Arial" w:hAnsi="Arial" w:cs="Arial"/>
          <w:sz w:val="20"/>
          <w:szCs w:val="20"/>
          <w:lang w:val="en-US"/>
        </w:rPr>
      </w:pPr>
      <w:r>
        <w:rPr>
          <w:rFonts w:ascii="Arial" w:hAnsi="Arial" w:cs="Arial"/>
          <w:sz w:val="20"/>
          <w:szCs w:val="20"/>
          <w:lang w:val="en-US"/>
        </w:rPr>
        <w:t>Tunable</w:t>
      </w:r>
      <w:r w:rsidR="00BA5575" w:rsidRPr="00BA5575">
        <w:rPr>
          <w:rFonts w:ascii="Arial" w:hAnsi="Arial" w:cs="Arial"/>
          <w:sz w:val="20"/>
          <w:szCs w:val="20"/>
          <w:lang w:val="en-US"/>
        </w:rPr>
        <w:t xml:space="preserve"> white is based </w:t>
      </w:r>
      <w:r>
        <w:rPr>
          <w:rFonts w:ascii="Arial" w:hAnsi="Arial" w:cs="Arial"/>
          <w:sz w:val="20"/>
          <w:szCs w:val="20"/>
          <w:lang w:val="en-US"/>
        </w:rPr>
        <w:t xml:space="preserve">on </w:t>
      </w:r>
      <w:r w:rsidR="00BA5575" w:rsidRPr="00BA5575">
        <w:rPr>
          <w:rFonts w:ascii="Arial" w:hAnsi="Arial" w:cs="Arial"/>
          <w:sz w:val="20"/>
          <w:szCs w:val="20"/>
          <w:lang w:val="en-US"/>
        </w:rPr>
        <w:t xml:space="preserve">LED packages ideal for applications requiring precise tuning of color temperatures along the Planckian </w:t>
      </w:r>
      <w:r w:rsidR="00BB316B">
        <w:rPr>
          <w:rFonts w:ascii="Arial" w:hAnsi="Arial" w:cs="Arial"/>
          <w:sz w:val="20"/>
          <w:szCs w:val="20"/>
          <w:lang w:val="en-US"/>
        </w:rPr>
        <w:t>curve</w:t>
      </w:r>
      <w:r w:rsidR="00BA5575" w:rsidRPr="00BA5575">
        <w:rPr>
          <w:rFonts w:ascii="Arial" w:hAnsi="Arial" w:cs="Arial"/>
          <w:sz w:val="20"/>
          <w:szCs w:val="20"/>
          <w:lang w:val="en-US"/>
        </w:rPr>
        <w:t>. The LEDs feature 3-step MacAdam binning (SDCM3), One Bin Only, and extended photometric code Wxxx/339, ensuring excellent color consistency over the entire lifetime. Premium color rendering with CRI 95 (R9 = 77) and TM-30-15 values up to Rf = 92 / Rg = 103.</w:t>
      </w:r>
    </w:p>
    <w:p w14:paraId="28613BD2" w14:textId="76DFEE97" w:rsidR="00BA5575" w:rsidRPr="008C41DB" w:rsidRDefault="00BA5575" w:rsidP="00BA5575">
      <w:pPr>
        <w:rPr>
          <w:rFonts w:ascii="Arial" w:hAnsi="Arial" w:cs="Arial"/>
          <w:sz w:val="20"/>
          <w:szCs w:val="20"/>
          <w:lang w:val="en-US"/>
        </w:rPr>
      </w:pPr>
      <w:r w:rsidRPr="00BA5575">
        <w:rPr>
          <w:rFonts w:ascii="Arial" w:hAnsi="Arial" w:cs="Arial"/>
          <w:sz w:val="20"/>
          <w:szCs w:val="20"/>
          <w:lang w:val="en-US"/>
        </w:rPr>
        <w:t>RGB uses high-quality RGB LEDs</w:t>
      </w:r>
      <w:r w:rsidR="00C37FF5">
        <w:rPr>
          <w:rFonts w:ascii="Arial" w:hAnsi="Arial" w:cs="Arial"/>
          <w:sz w:val="20"/>
          <w:szCs w:val="20"/>
          <w:lang w:val="en-US"/>
        </w:rPr>
        <w:t xml:space="preserve"> </w:t>
      </w:r>
      <w:r w:rsidRPr="00BA5575">
        <w:rPr>
          <w:rFonts w:ascii="Arial" w:hAnsi="Arial" w:cs="Arial"/>
          <w:sz w:val="20"/>
          <w:szCs w:val="20"/>
          <w:lang w:val="en-US"/>
        </w:rPr>
        <w:t>for optimal heat dissipation (junction</w:t>
      </w:r>
      <w:r w:rsidR="00B7151C">
        <w:rPr>
          <w:rFonts w:ascii="Arial" w:hAnsi="Arial" w:cs="Arial"/>
          <w:sz w:val="20"/>
          <w:szCs w:val="20"/>
          <w:lang w:val="en-US"/>
        </w:rPr>
        <w:t xml:space="preserve"> </w:t>
      </w:r>
      <w:r w:rsidRPr="00BA5575">
        <w:rPr>
          <w:rFonts w:ascii="Arial" w:hAnsi="Arial" w:cs="Arial"/>
          <w:sz w:val="20"/>
          <w:szCs w:val="20"/>
          <w:lang w:val="en-US"/>
        </w:rPr>
        <w:t>to</w:t>
      </w:r>
      <w:r w:rsidR="00B7151C">
        <w:rPr>
          <w:rFonts w:ascii="Arial" w:hAnsi="Arial" w:cs="Arial"/>
          <w:sz w:val="20"/>
          <w:szCs w:val="20"/>
          <w:lang w:val="en-US"/>
        </w:rPr>
        <w:t xml:space="preserve"> </w:t>
      </w:r>
      <w:r w:rsidRPr="00BA5575">
        <w:rPr>
          <w:rFonts w:ascii="Arial" w:hAnsi="Arial" w:cs="Arial"/>
          <w:sz w:val="20"/>
          <w:szCs w:val="20"/>
          <w:lang w:val="en-US"/>
        </w:rPr>
        <w:t xml:space="preserve">profile) and a lifetime of &gt;60,000 operating hours (L80/B10). Active current regulation ensures uniform light intensity over the entire strip length. Protected against electrostatic discharge up to ±2,000 V and </w:t>
      </w:r>
      <w:r w:rsidR="008C41DB" w:rsidRPr="008C41DB">
        <w:rPr>
          <w:rFonts w:ascii="Arial" w:hAnsi="Arial" w:cs="Arial"/>
          <w:kern w:val="0"/>
          <w:sz w:val="20"/>
          <w:szCs w:val="20"/>
          <w:lang w:val="en-US"/>
        </w:rPr>
        <w:t>polarity miswiring.</w:t>
      </w:r>
    </w:p>
    <w:p w14:paraId="33CBC15B" w14:textId="77777777" w:rsidR="00CF07E4" w:rsidRPr="00CF07E4" w:rsidRDefault="00CF07E4" w:rsidP="00CF07E4">
      <w:pPr>
        <w:widowControl w:val="0"/>
        <w:autoSpaceDE w:val="0"/>
        <w:autoSpaceDN w:val="0"/>
        <w:adjustRightInd w:val="0"/>
        <w:spacing w:after="0" w:line="240" w:lineRule="auto"/>
        <w:rPr>
          <w:rFonts w:ascii="Arial" w:hAnsi="Arial" w:cs="Arial"/>
          <w:kern w:val="0"/>
          <w:sz w:val="20"/>
          <w:szCs w:val="20"/>
          <w:lang w:val="en-US"/>
        </w:rPr>
      </w:pPr>
      <w:r w:rsidRPr="00CF07E4">
        <w:rPr>
          <w:rFonts w:ascii="Arial" w:hAnsi="Arial" w:cs="Arial"/>
          <w:kern w:val="0"/>
          <w:sz w:val="20"/>
          <w:szCs w:val="20"/>
          <w:lang w:val="en-US"/>
        </w:rPr>
        <w:t xml:space="preserve">Fully PWM dimmable for frequency &gt; 0 Hz up to 2 kHz (flicker free for frequency higher than 1.2 kHz </w:t>
      </w:r>
      <w:r w:rsidRPr="00CF07E4">
        <w:rPr>
          <w:rFonts w:ascii="Arial" w:hAnsi="Arial" w:cs="Arial"/>
          <w:kern w:val="0"/>
          <w:sz w:val="20"/>
          <w:szCs w:val="20"/>
          <w:lang w:val="en-US"/>
        </w:rPr>
        <w:lastRenderedPageBreak/>
        <w:t xml:space="preserve">according to IEEE P1789 standard). </w:t>
      </w:r>
    </w:p>
    <w:p w14:paraId="65699217" w14:textId="77777777" w:rsidR="00CE2E76" w:rsidRPr="00CE2E76" w:rsidRDefault="00CE2E76" w:rsidP="00CE2E76">
      <w:pPr>
        <w:widowControl w:val="0"/>
        <w:autoSpaceDE w:val="0"/>
        <w:autoSpaceDN w:val="0"/>
        <w:adjustRightInd w:val="0"/>
        <w:spacing w:after="0" w:line="240" w:lineRule="auto"/>
        <w:rPr>
          <w:rFonts w:ascii="Arial" w:hAnsi="Arial" w:cs="Arial"/>
          <w:kern w:val="0"/>
          <w:sz w:val="20"/>
          <w:szCs w:val="20"/>
          <w:lang w:val="en-US"/>
        </w:rPr>
      </w:pPr>
    </w:p>
    <w:p w14:paraId="34183FC0" w14:textId="321EF642" w:rsidR="00BA5575" w:rsidRDefault="00CE2E76" w:rsidP="00FA6855">
      <w:pPr>
        <w:widowControl w:val="0"/>
        <w:autoSpaceDE w:val="0"/>
        <w:autoSpaceDN w:val="0"/>
        <w:adjustRightInd w:val="0"/>
        <w:spacing w:after="0" w:line="240" w:lineRule="auto"/>
        <w:rPr>
          <w:rFonts w:ascii="Arial" w:hAnsi="Arial" w:cs="Arial"/>
          <w:kern w:val="0"/>
          <w:sz w:val="20"/>
          <w:szCs w:val="20"/>
          <w:lang w:val="en-US"/>
        </w:rPr>
      </w:pPr>
      <w:r w:rsidRPr="00E717AB">
        <w:rPr>
          <w:rFonts w:ascii="Arial" w:hAnsi="Arial" w:cs="Arial"/>
          <w:sz w:val="20"/>
          <w:szCs w:val="20"/>
          <w:lang w:val="en-US"/>
        </w:rPr>
        <w:t xml:space="preserve">Luminaire and light </w:t>
      </w:r>
      <w:r>
        <w:rPr>
          <w:rFonts w:ascii="Arial" w:hAnsi="Arial" w:cs="Arial"/>
          <w:sz w:val="20"/>
          <w:szCs w:val="20"/>
          <w:lang w:val="en-US"/>
        </w:rPr>
        <w:t>engine</w:t>
      </w:r>
      <w:r w:rsidRPr="00E717AB">
        <w:rPr>
          <w:rFonts w:ascii="Arial" w:hAnsi="Arial" w:cs="Arial"/>
          <w:sz w:val="20"/>
          <w:szCs w:val="20"/>
          <w:lang w:val="en-US"/>
        </w:rPr>
        <w:t xml:space="preserve"> </w:t>
      </w:r>
      <w:r w:rsidRPr="00E717AB">
        <w:rPr>
          <w:rFonts w:ascii="Arial" w:hAnsi="Arial" w:cs="Arial"/>
          <w:kern w:val="0"/>
          <w:sz w:val="20"/>
          <w:szCs w:val="20"/>
          <w:lang w:val="en-US"/>
        </w:rPr>
        <w:t>engineered and produced in Germany.</w:t>
      </w:r>
    </w:p>
    <w:p w14:paraId="132A89F0" w14:textId="77777777" w:rsidR="00FA6855" w:rsidRPr="00FA6855" w:rsidRDefault="00FA6855" w:rsidP="00FA6855">
      <w:pPr>
        <w:widowControl w:val="0"/>
        <w:autoSpaceDE w:val="0"/>
        <w:autoSpaceDN w:val="0"/>
        <w:adjustRightInd w:val="0"/>
        <w:spacing w:after="0" w:line="240" w:lineRule="auto"/>
        <w:rPr>
          <w:rFonts w:ascii="Arial" w:hAnsi="Arial" w:cs="Arial"/>
          <w:kern w:val="0"/>
          <w:sz w:val="20"/>
          <w:szCs w:val="20"/>
          <w:lang w:val="en-US"/>
        </w:rPr>
      </w:pPr>
    </w:p>
    <w:p w14:paraId="61B5D2CA" w14:textId="77777777" w:rsidR="00AF428F" w:rsidRPr="00AF428F" w:rsidRDefault="00AF428F" w:rsidP="00AF428F">
      <w:pPr>
        <w:widowControl w:val="0"/>
        <w:autoSpaceDE w:val="0"/>
        <w:autoSpaceDN w:val="0"/>
        <w:adjustRightInd w:val="0"/>
        <w:spacing w:after="0" w:line="240" w:lineRule="auto"/>
        <w:rPr>
          <w:rFonts w:ascii="Arial" w:hAnsi="Arial" w:cs="Arial"/>
          <w:b/>
          <w:bCs/>
          <w:kern w:val="0"/>
          <w:sz w:val="20"/>
          <w:szCs w:val="20"/>
          <w:lang w:val="en-US"/>
        </w:rPr>
      </w:pPr>
      <w:r w:rsidRPr="00AF428F">
        <w:rPr>
          <w:rFonts w:ascii="Arial" w:hAnsi="Arial" w:cs="Arial"/>
          <w:b/>
          <w:bCs/>
          <w:kern w:val="0"/>
          <w:lang w:val="en-US"/>
        </w:rPr>
        <w:t>Reports and certifications</w:t>
      </w:r>
    </w:p>
    <w:p w14:paraId="17646BFF" w14:textId="77777777" w:rsidR="00AF428F" w:rsidRPr="00AF428F" w:rsidRDefault="00AF428F" w:rsidP="00AF428F">
      <w:pPr>
        <w:widowControl w:val="0"/>
        <w:autoSpaceDE w:val="0"/>
        <w:autoSpaceDN w:val="0"/>
        <w:adjustRightInd w:val="0"/>
        <w:spacing w:after="0" w:line="240" w:lineRule="auto"/>
        <w:ind w:left="2880" w:hanging="2880"/>
        <w:rPr>
          <w:rFonts w:ascii="Arial" w:hAnsi="Arial" w:cs="Arial"/>
          <w:kern w:val="0"/>
          <w:sz w:val="20"/>
          <w:szCs w:val="20"/>
          <w:lang w:val="en-US"/>
        </w:rPr>
      </w:pPr>
      <w:r w:rsidRPr="00AF428F">
        <w:rPr>
          <w:rFonts w:ascii="Arial" w:hAnsi="Arial" w:cs="Arial"/>
          <w:kern w:val="0"/>
          <w:sz w:val="20"/>
          <w:szCs w:val="20"/>
          <w:lang w:val="en-US"/>
        </w:rPr>
        <w:t>CE:</w:t>
      </w:r>
      <w:r w:rsidRPr="00AF428F">
        <w:rPr>
          <w:rFonts w:ascii="Arial" w:hAnsi="Arial" w:cs="Arial"/>
          <w:kern w:val="0"/>
          <w:sz w:val="20"/>
          <w:szCs w:val="20"/>
          <w:lang w:val="en-US"/>
        </w:rPr>
        <w:tab/>
        <w:t xml:space="preserve">Yes, according to EN 60598-1:2022; EN 60598-2-1:2021 </w:t>
      </w:r>
    </w:p>
    <w:p w14:paraId="028FDC99" w14:textId="77777777" w:rsidR="00AF428F" w:rsidRPr="00AF428F" w:rsidRDefault="00AF428F" w:rsidP="00AF428F">
      <w:pPr>
        <w:widowControl w:val="0"/>
        <w:autoSpaceDE w:val="0"/>
        <w:autoSpaceDN w:val="0"/>
        <w:adjustRightInd w:val="0"/>
        <w:spacing w:after="0" w:line="240" w:lineRule="auto"/>
        <w:ind w:left="2880"/>
        <w:rPr>
          <w:rFonts w:ascii="Arial" w:hAnsi="Arial" w:cs="Arial"/>
          <w:kern w:val="0"/>
          <w:sz w:val="20"/>
          <w:szCs w:val="20"/>
          <w:lang w:val="en-US"/>
        </w:rPr>
      </w:pPr>
      <w:r w:rsidRPr="00AF428F">
        <w:rPr>
          <w:rFonts w:ascii="Arial" w:hAnsi="Arial" w:cs="Arial"/>
          <w:kern w:val="0"/>
          <w:sz w:val="20"/>
          <w:szCs w:val="20"/>
          <w:lang w:val="en-US"/>
        </w:rPr>
        <w:t xml:space="preserve">Ecodesign Directive 2019/2020/EU (L315/209) </w:t>
      </w:r>
    </w:p>
    <w:p w14:paraId="640E8D95" w14:textId="77777777" w:rsidR="00AF428F" w:rsidRPr="00AF428F" w:rsidRDefault="00AF428F" w:rsidP="00AF428F">
      <w:pPr>
        <w:widowControl w:val="0"/>
        <w:autoSpaceDE w:val="0"/>
        <w:autoSpaceDN w:val="0"/>
        <w:adjustRightInd w:val="0"/>
        <w:spacing w:after="0" w:line="240" w:lineRule="auto"/>
        <w:ind w:left="2160" w:firstLine="720"/>
        <w:rPr>
          <w:rFonts w:ascii="Arial" w:hAnsi="Arial" w:cs="Arial"/>
          <w:kern w:val="0"/>
          <w:sz w:val="20"/>
          <w:szCs w:val="20"/>
          <w:lang w:val="en-US"/>
        </w:rPr>
      </w:pPr>
      <w:r w:rsidRPr="00AF428F">
        <w:rPr>
          <w:rFonts w:ascii="Arial" w:hAnsi="Arial" w:cs="Arial"/>
          <w:kern w:val="0"/>
          <w:sz w:val="20"/>
          <w:szCs w:val="20"/>
          <w:lang w:val="en-US"/>
        </w:rPr>
        <w:t xml:space="preserve">ROHS Directive 2011/65/EU (L174/88) </w:t>
      </w:r>
    </w:p>
    <w:p w14:paraId="1D5A6938" w14:textId="77777777" w:rsidR="00AF428F" w:rsidRPr="00AF428F" w:rsidRDefault="00AF428F" w:rsidP="00AF428F">
      <w:pPr>
        <w:widowControl w:val="0"/>
        <w:autoSpaceDE w:val="0"/>
        <w:autoSpaceDN w:val="0"/>
        <w:adjustRightInd w:val="0"/>
        <w:spacing w:after="0" w:line="240" w:lineRule="auto"/>
        <w:ind w:left="2160" w:firstLine="720"/>
        <w:rPr>
          <w:rFonts w:ascii="Arial" w:hAnsi="Arial" w:cs="Arial"/>
          <w:kern w:val="0"/>
          <w:sz w:val="20"/>
          <w:szCs w:val="20"/>
          <w:lang w:val="en-US"/>
        </w:rPr>
      </w:pPr>
      <w:r w:rsidRPr="00AF428F">
        <w:rPr>
          <w:rFonts w:ascii="Arial" w:hAnsi="Arial" w:cs="Arial"/>
          <w:kern w:val="0"/>
          <w:sz w:val="20"/>
          <w:szCs w:val="20"/>
          <w:lang w:val="en-US"/>
        </w:rPr>
        <w:t>WEEE Directive 2012/19/EU (L197/38)</w:t>
      </w:r>
    </w:p>
    <w:p w14:paraId="30835CE4" w14:textId="77777777"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 xml:space="preserve">Saltwater for coastal regions: </w:t>
      </w:r>
      <w:r w:rsidRPr="00AF428F">
        <w:rPr>
          <w:rFonts w:ascii="Arial" w:hAnsi="Arial" w:cs="Arial"/>
          <w:kern w:val="0"/>
          <w:sz w:val="20"/>
          <w:szCs w:val="20"/>
          <w:lang w:val="en-US"/>
        </w:rPr>
        <w:tab/>
        <w:t>Yes, according to EN IEC 60068-2-52:2018 testing method: 1</w:t>
      </w:r>
    </w:p>
    <w:p w14:paraId="3A8F5E9C" w14:textId="77777777"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Testing duration 28 days by 40°C with 93% humidity and</w:t>
      </w:r>
    </w:p>
    <w:p w14:paraId="292D60F6" w14:textId="77777777"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5% salt concentration</w:t>
      </w:r>
    </w:p>
    <w:p w14:paraId="5DAE13B8" w14:textId="77777777"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IP67:</w:t>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Yes, testing requirements: 30 min. long, 1 meter under water</w:t>
      </w:r>
    </w:p>
    <w:p w14:paraId="7A3765F6" w14:textId="77777777"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ETL:</w:t>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Yes, according to ATM report</w:t>
      </w:r>
    </w:p>
    <w:p w14:paraId="3A4F92B1" w14:textId="77777777" w:rsidR="00AF428F" w:rsidRPr="004B4D36" w:rsidRDefault="00AF428F" w:rsidP="00AF428F">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44A1C73C" w14:textId="010AE681" w:rsidR="00AF428F" w:rsidRPr="004B4D36" w:rsidRDefault="00AF428F" w:rsidP="00392C28">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0D652363" w14:textId="77777777" w:rsid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 xml:space="preserve">CB-Report: </w:t>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Yes, according to IEC 60598-2-1:2020; IEC 60598-1:2020</w:t>
      </w:r>
    </w:p>
    <w:p w14:paraId="1F664A33" w14:textId="6BA70BA6" w:rsidR="00653874" w:rsidRPr="00653874" w:rsidRDefault="00653874" w:rsidP="00AF428F">
      <w:pPr>
        <w:widowControl w:val="0"/>
        <w:autoSpaceDE w:val="0"/>
        <w:autoSpaceDN w:val="0"/>
        <w:adjustRightInd w:val="0"/>
        <w:spacing w:after="0" w:line="240" w:lineRule="auto"/>
        <w:rPr>
          <w:rFonts w:ascii="Arial" w:eastAsiaTheme="minorEastAsia" w:hAnsi="Arial" w:cs="Arial"/>
          <w:kern w:val="0"/>
          <w:sz w:val="20"/>
          <w:szCs w:val="20"/>
          <w:lang w:val="en-US" w:eastAsia="de-DE"/>
        </w:rPr>
      </w:pPr>
      <w:r w:rsidRPr="009B4B99">
        <w:rPr>
          <w:rFonts w:ascii="Arial" w:eastAsiaTheme="minorEastAsia" w:hAnsi="Arial" w:cs="Arial"/>
          <w:kern w:val="0"/>
          <w:sz w:val="20"/>
          <w:szCs w:val="20"/>
          <w:lang w:val="en-US" w:eastAsia="de-DE"/>
        </w:rPr>
        <w:t>EPD:</w:t>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r>
      <w:r w:rsidRPr="009B4B99">
        <w:rPr>
          <w:rFonts w:ascii="Arial" w:eastAsiaTheme="minorEastAsia" w:hAnsi="Arial" w:cs="Arial"/>
          <w:kern w:val="0"/>
          <w:sz w:val="20"/>
          <w:szCs w:val="20"/>
          <w:lang w:val="en-US" w:eastAsia="de-DE"/>
        </w:rPr>
        <w:tab/>
        <w:t>Yes, according to ISO14025</w:t>
      </w:r>
    </w:p>
    <w:p w14:paraId="397BC103" w14:textId="193B37FC" w:rsidR="00AF428F" w:rsidRPr="00AF428F" w:rsidRDefault="00AF428F" w:rsidP="00AF428F">
      <w:pPr>
        <w:widowControl w:val="0"/>
        <w:autoSpaceDE w:val="0"/>
        <w:autoSpaceDN w:val="0"/>
        <w:adjustRightInd w:val="0"/>
        <w:spacing w:after="0" w:line="240" w:lineRule="auto"/>
        <w:rPr>
          <w:rFonts w:ascii="Arial" w:hAnsi="Arial" w:cs="Arial"/>
          <w:kern w:val="0"/>
          <w:sz w:val="20"/>
          <w:szCs w:val="20"/>
          <w:lang w:val="en-US"/>
        </w:rPr>
      </w:pPr>
      <w:r w:rsidRPr="00AF428F">
        <w:rPr>
          <w:rFonts w:ascii="Arial" w:hAnsi="Arial" w:cs="Arial"/>
          <w:kern w:val="0"/>
          <w:sz w:val="20"/>
          <w:szCs w:val="20"/>
          <w:lang w:val="en-US"/>
        </w:rPr>
        <w:t xml:space="preserve">UV resistance </w:t>
      </w:r>
      <w:r w:rsidRPr="00AF428F">
        <w:rPr>
          <w:rFonts w:ascii="Arial" w:hAnsi="Arial" w:cs="Arial"/>
          <w:kern w:val="0"/>
          <w:sz w:val="20"/>
          <w:szCs w:val="20"/>
          <w:lang w:val="en-US"/>
        </w:rPr>
        <w:tab/>
      </w:r>
      <w:r w:rsidRPr="00AF428F">
        <w:rPr>
          <w:rFonts w:ascii="Arial" w:hAnsi="Arial" w:cs="Arial"/>
          <w:kern w:val="0"/>
          <w:sz w:val="20"/>
          <w:szCs w:val="20"/>
          <w:lang w:val="en-US"/>
        </w:rPr>
        <w:tab/>
      </w:r>
      <w:r w:rsidRPr="00AF428F">
        <w:rPr>
          <w:rFonts w:ascii="Arial" w:hAnsi="Arial" w:cs="Arial"/>
          <w:kern w:val="0"/>
          <w:sz w:val="20"/>
          <w:szCs w:val="20"/>
          <w:lang w:val="en-US"/>
        </w:rPr>
        <w:tab/>
        <w:t>Yes, according DIN ISO 4892-2</w:t>
      </w:r>
    </w:p>
    <w:p w14:paraId="5BA86BBA" w14:textId="77777777" w:rsidR="00AF428F" w:rsidRPr="00AF428F" w:rsidRDefault="00AF428F" w:rsidP="00AF428F">
      <w:pPr>
        <w:widowControl w:val="0"/>
        <w:autoSpaceDE w:val="0"/>
        <w:autoSpaceDN w:val="0"/>
        <w:adjustRightInd w:val="0"/>
        <w:spacing w:after="0" w:line="240" w:lineRule="auto"/>
        <w:ind w:left="2880"/>
        <w:rPr>
          <w:rFonts w:ascii="Arial" w:hAnsi="Arial" w:cs="Arial"/>
          <w:kern w:val="0"/>
          <w:sz w:val="20"/>
          <w:szCs w:val="20"/>
          <w:lang w:val="en-US"/>
        </w:rPr>
      </w:pPr>
      <w:r w:rsidRPr="00AF428F">
        <w:rPr>
          <w:rFonts w:ascii="Arial" w:hAnsi="Arial" w:cs="Arial"/>
          <w:kern w:val="0"/>
          <w:sz w:val="20"/>
          <w:szCs w:val="20"/>
          <w:lang w:val="en-US"/>
        </w:rPr>
        <w:t>Testing conditions: doses of UV-A and UV-B radiation equivalent to ten years of direct sunlight exposure</w:t>
      </w:r>
    </w:p>
    <w:p w14:paraId="67399E07" w14:textId="77777777" w:rsidR="00AF428F" w:rsidRPr="004B4D36" w:rsidRDefault="00AF428F" w:rsidP="00AF428F">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Reports available on request</w:t>
      </w:r>
    </w:p>
    <w:p w14:paraId="33C056CB" w14:textId="324E790D" w:rsidR="002F2C95" w:rsidRPr="00FA6855" w:rsidRDefault="00AF428F" w:rsidP="00FA6855">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Reports available on request</w:t>
      </w:r>
    </w:p>
    <w:sectPr w:rsidR="002F2C95" w:rsidRPr="00FA685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62CE"/>
    <w:multiLevelType w:val="hybridMultilevel"/>
    <w:tmpl w:val="90045DF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9456D3"/>
    <w:multiLevelType w:val="hybridMultilevel"/>
    <w:tmpl w:val="563CA3D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D33DE8"/>
    <w:multiLevelType w:val="hybridMultilevel"/>
    <w:tmpl w:val="3FAAD68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7D525BB"/>
    <w:multiLevelType w:val="multilevel"/>
    <w:tmpl w:val="990E3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CB1305"/>
    <w:multiLevelType w:val="hybridMultilevel"/>
    <w:tmpl w:val="C010BB3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F675BB8"/>
    <w:multiLevelType w:val="multilevel"/>
    <w:tmpl w:val="C2AA8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8718833">
    <w:abstractNumId w:val="2"/>
  </w:num>
  <w:num w:numId="2" w16cid:durableId="1809393502">
    <w:abstractNumId w:val="1"/>
  </w:num>
  <w:num w:numId="3" w16cid:durableId="1284117777">
    <w:abstractNumId w:val="4"/>
  </w:num>
  <w:num w:numId="4" w16cid:durableId="134029637">
    <w:abstractNumId w:val="0"/>
  </w:num>
  <w:num w:numId="5" w16cid:durableId="1823933057">
    <w:abstractNumId w:val="5"/>
  </w:num>
  <w:num w:numId="6" w16cid:durableId="1008826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C14"/>
    <w:rsid w:val="00003021"/>
    <w:rsid w:val="00093BA1"/>
    <w:rsid w:val="00105D08"/>
    <w:rsid w:val="00155D5C"/>
    <w:rsid w:val="0016760B"/>
    <w:rsid w:val="00183041"/>
    <w:rsid w:val="001A00EE"/>
    <w:rsid w:val="001E7399"/>
    <w:rsid w:val="002247DB"/>
    <w:rsid w:val="00232CE4"/>
    <w:rsid w:val="00261E22"/>
    <w:rsid w:val="00282F37"/>
    <w:rsid w:val="002C1326"/>
    <w:rsid w:val="002C2EE6"/>
    <w:rsid w:val="002F2C95"/>
    <w:rsid w:val="002F7B34"/>
    <w:rsid w:val="003419EA"/>
    <w:rsid w:val="003653F8"/>
    <w:rsid w:val="00375FEF"/>
    <w:rsid w:val="00383752"/>
    <w:rsid w:val="00392C28"/>
    <w:rsid w:val="003C1964"/>
    <w:rsid w:val="00403111"/>
    <w:rsid w:val="004364DB"/>
    <w:rsid w:val="0047571B"/>
    <w:rsid w:val="004F079E"/>
    <w:rsid w:val="00553D2E"/>
    <w:rsid w:val="005D3F8E"/>
    <w:rsid w:val="005F6576"/>
    <w:rsid w:val="00645F99"/>
    <w:rsid w:val="00653874"/>
    <w:rsid w:val="00655025"/>
    <w:rsid w:val="006A02E0"/>
    <w:rsid w:val="006C044B"/>
    <w:rsid w:val="00707ADE"/>
    <w:rsid w:val="007920BA"/>
    <w:rsid w:val="00794282"/>
    <w:rsid w:val="007B2E74"/>
    <w:rsid w:val="00810BE9"/>
    <w:rsid w:val="00851F4B"/>
    <w:rsid w:val="0087503A"/>
    <w:rsid w:val="008C41DB"/>
    <w:rsid w:val="008D17F1"/>
    <w:rsid w:val="008F5BBF"/>
    <w:rsid w:val="00927379"/>
    <w:rsid w:val="00943B52"/>
    <w:rsid w:val="00974175"/>
    <w:rsid w:val="00983F50"/>
    <w:rsid w:val="00A43409"/>
    <w:rsid w:val="00A64AD2"/>
    <w:rsid w:val="00A70AC7"/>
    <w:rsid w:val="00AA3F48"/>
    <w:rsid w:val="00AC7216"/>
    <w:rsid w:val="00AF3B5A"/>
    <w:rsid w:val="00AF428F"/>
    <w:rsid w:val="00B53E29"/>
    <w:rsid w:val="00B7053C"/>
    <w:rsid w:val="00B7151C"/>
    <w:rsid w:val="00BA4DEA"/>
    <w:rsid w:val="00BA5575"/>
    <w:rsid w:val="00BB316B"/>
    <w:rsid w:val="00BC3B96"/>
    <w:rsid w:val="00BF34AC"/>
    <w:rsid w:val="00C07121"/>
    <w:rsid w:val="00C22471"/>
    <w:rsid w:val="00C37FF5"/>
    <w:rsid w:val="00CA6F5A"/>
    <w:rsid w:val="00CD1486"/>
    <w:rsid w:val="00CD37A9"/>
    <w:rsid w:val="00CE2E76"/>
    <w:rsid w:val="00CF07E4"/>
    <w:rsid w:val="00D45A3F"/>
    <w:rsid w:val="00D82B97"/>
    <w:rsid w:val="00DA24F3"/>
    <w:rsid w:val="00DB5306"/>
    <w:rsid w:val="00E1090E"/>
    <w:rsid w:val="00E37592"/>
    <w:rsid w:val="00E46DD4"/>
    <w:rsid w:val="00ED46D2"/>
    <w:rsid w:val="00EF0A7B"/>
    <w:rsid w:val="00FA6855"/>
    <w:rsid w:val="00FF3C14"/>
    <w:rsid w:val="0183D983"/>
    <w:rsid w:val="04A1965D"/>
    <w:rsid w:val="0545D5CF"/>
    <w:rsid w:val="0D9079F1"/>
    <w:rsid w:val="0DB25F4A"/>
    <w:rsid w:val="19C818F5"/>
    <w:rsid w:val="1E3861C5"/>
    <w:rsid w:val="2504A977"/>
    <w:rsid w:val="25DF0377"/>
    <w:rsid w:val="2BE96198"/>
    <w:rsid w:val="2D8613CD"/>
    <w:rsid w:val="2F1ADF68"/>
    <w:rsid w:val="2FF403EB"/>
    <w:rsid w:val="3490099D"/>
    <w:rsid w:val="45EA5D2C"/>
    <w:rsid w:val="4630B81D"/>
    <w:rsid w:val="464BCD1B"/>
    <w:rsid w:val="4D12963B"/>
    <w:rsid w:val="505F7AFC"/>
    <w:rsid w:val="6D5FA13E"/>
    <w:rsid w:val="75D43986"/>
    <w:rsid w:val="7C2815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587DD"/>
  <w15:chartTrackingRefBased/>
  <w15:docId w15:val="{766F985A-89FE-4A8D-975E-CC81CD8E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F3C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F3C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F3C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F3C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F3C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F3C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F3C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F3C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F3C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F3C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F3C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F3C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F3C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F3C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F3C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F3C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F3C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F3C14"/>
    <w:rPr>
      <w:rFonts w:eastAsiaTheme="majorEastAsia" w:cstheme="majorBidi"/>
      <w:color w:val="272727" w:themeColor="text1" w:themeTint="D8"/>
    </w:rPr>
  </w:style>
  <w:style w:type="paragraph" w:styleId="Titel">
    <w:name w:val="Title"/>
    <w:basedOn w:val="Standard"/>
    <w:next w:val="Standard"/>
    <w:link w:val="TitelZchn"/>
    <w:uiPriority w:val="10"/>
    <w:qFormat/>
    <w:rsid w:val="00FF3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F3C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F3C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F3C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F3C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F3C14"/>
    <w:rPr>
      <w:i/>
      <w:iCs/>
      <w:color w:val="404040" w:themeColor="text1" w:themeTint="BF"/>
    </w:rPr>
  </w:style>
  <w:style w:type="paragraph" w:styleId="Listenabsatz">
    <w:name w:val="List Paragraph"/>
    <w:basedOn w:val="Standard"/>
    <w:uiPriority w:val="34"/>
    <w:qFormat/>
    <w:rsid w:val="00FF3C14"/>
    <w:pPr>
      <w:ind w:left="720"/>
      <w:contextualSpacing/>
    </w:pPr>
  </w:style>
  <w:style w:type="character" w:styleId="IntensiveHervorhebung">
    <w:name w:val="Intense Emphasis"/>
    <w:basedOn w:val="Absatz-Standardschriftart"/>
    <w:uiPriority w:val="21"/>
    <w:qFormat/>
    <w:rsid w:val="00FF3C14"/>
    <w:rPr>
      <w:i/>
      <w:iCs/>
      <w:color w:val="0F4761" w:themeColor="accent1" w:themeShade="BF"/>
    </w:rPr>
  </w:style>
  <w:style w:type="paragraph" w:styleId="IntensivesZitat">
    <w:name w:val="Intense Quote"/>
    <w:basedOn w:val="Standard"/>
    <w:next w:val="Standard"/>
    <w:link w:val="IntensivesZitatZchn"/>
    <w:uiPriority w:val="30"/>
    <w:qFormat/>
    <w:rsid w:val="00FF3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F3C14"/>
    <w:rPr>
      <w:i/>
      <w:iCs/>
      <w:color w:val="0F4761" w:themeColor="accent1" w:themeShade="BF"/>
    </w:rPr>
  </w:style>
  <w:style w:type="character" w:styleId="IntensiverVerweis">
    <w:name w:val="Intense Reference"/>
    <w:basedOn w:val="Absatz-Standardschriftart"/>
    <w:uiPriority w:val="32"/>
    <w:qFormat/>
    <w:rsid w:val="00FF3C14"/>
    <w:rPr>
      <w:b/>
      <w:bCs/>
      <w:smallCaps/>
      <w:color w:val="0F4761" w:themeColor="accent1" w:themeShade="BF"/>
      <w:spacing w:val="5"/>
    </w:rPr>
  </w:style>
  <w:style w:type="character" w:styleId="Kommentarzeichen">
    <w:name w:val="annotation reference"/>
    <w:basedOn w:val="Absatz-Standardschriftart"/>
    <w:uiPriority w:val="99"/>
    <w:semiHidden/>
    <w:unhideWhenUsed/>
    <w:rsid w:val="006C044B"/>
    <w:rPr>
      <w:sz w:val="16"/>
      <w:szCs w:val="16"/>
    </w:rPr>
  </w:style>
  <w:style w:type="paragraph" w:styleId="Kommentartext">
    <w:name w:val="annotation text"/>
    <w:basedOn w:val="Standard"/>
    <w:link w:val="KommentartextZchn"/>
    <w:uiPriority w:val="99"/>
    <w:unhideWhenUsed/>
    <w:rsid w:val="006C044B"/>
    <w:pPr>
      <w:spacing w:line="240" w:lineRule="auto"/>
    </w:pPr>
    <w:rPr>
      <w:sz w:val="20"/>
      <w:szCs w:val="20"/>
    </w:rPr>
  </w:style>
  <w:style w:type="character" w:customStyle="1" w:styleId="KommentartextZchn">
    <w:name w:val="Kommentartext Zchn"/>
    <w:basedOn w:val="Absatz-Standardschriftart"/>
    <w:link w:val="Kommentartext"/>
    <w:uiPriority w:val="99"/>
    <w:rsid w:val="006C044B"/>
    <w:rPr>
      <w:sz w:val="20"/>
      <w:szCs w:val="20"/>
    </w:rPr>
  </w:style>
  <w:style w:type="paragraph" w:styleId="Kommentarthema">
    <w:name w:val="annotation subject"/>
    <w:basedOn w:val="Kommentartext"/>
    <w:next w:val="Kommentartext"/>
    <w:link w:val="KommentarthemaZchn"/>
    <w:uiPriority w:val="99"/>
    <w:semiHidden/>
    <w:unhideWhenUsed/>
    <w:rsid w:val="006C044B"/>
    <w:rPr>
      <w:b/>
      <w:bCs/>
    </w:rPr>
  </w:style>
  <w:style w:type="character" w:customStyle="1" w:styleId="KommentarthemaZchn">
    <w:name w:val="Kommentarthema Zchn"/>
    <w:basedOn w:val="KommentartextZchn"/>
    <w:link w:val="Kommentarthema"/>
    <w:uiPriority w:val="99"/>
    <w:semiHidden/>
    <w:rsid w:val="006C04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Props1.xml><?xml version="1.0" encoding="utf-8"?>
<ds:datastoreItem xmlns:ds="http://schemas.openxmlformats.org/officeDocument/2006/customXml" ds:itemID="{08A55EB5-4918-4D52-886C-22E06E42F2C0}">
  <ds:schemaRefs>
    <ds:schemaRef ds:uri="http://schemas.microsoft.com/sharepoint/v3/contenttype/forms"/>
  </ds:schemaRefs>
</ds:datastoreItem>
</file>

<file path=customXml/itemProps2.xml><?xml version="1.0" encoding="utf-8"?>
<ds:datastoreItem xmlns:ds="http://schemas.openxmlformats.org/officeDocument/2006/customXml" ds:itemID="{B5CABC87-BCD9-49D3-B507-FB00A951A30F}"/>
</file>

<file path=customXml/itemProps3.xml><?xml version="1.0" encoding="utf-8"?>
<ds:datastoreItem xmlns:ds="http://schemas.openxmlformats.org/officeDocument/2006/customXml" ds:itemID="{2A2A371A-A033-464E-8A3D-BD1F3FA464FC}">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4039</Characters>
  <Application>Microsoft Office Word</Application>
  <DocSecurity>0</DocSecurity>
  <Lines>33</Lines>
  <Paragraphs>9</Paragraphs>
  <ScaleCrop>false</ScaleCrop>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62</cp:revision>
  <dcterms:created xsi:type="dcterms:W3CDTF">2026-03-11T09:41:00Z</dcterms:created>
  <dcterms:modified xsi:type="dcterms:W3CDTF">2026-06-03T09:00:00Z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ies>
</file>